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F97EC0">
        <w:tc>
          <w:tcPr>
            <w:tcW w:w="2518" w:type="dxa"/>
          </w:tcPr>
          <w:p w:rsidR="00F97EC0" w:rsidRDefault="00F97EC0" w:rsidP="009524C5">
            <w:pPr>
              <w:pStyle w:val="NOSSideHeading"/>
              <w:ind w:right="-108"/>
            </w:pPr>
            <w:bookmarkStart w:id="0" w:name="Overview"/>
            <w:r>
              <w:t>Overview</w:t>
            </w:r>
            <w:r>
              <w:br/>
            </w:r>
          </w:p>
        </w:tc>
        <w:tc>
          <w:tcPr>
            <w:tcW w:w="7967" w:type="dxa"/>
          </w:tcPr>
          <w:p w:rsidR="00F97EC0" w:rsidRDefault="00F97EC0" w:rsidP="0041280C">
            <w:pPr>
              <w:pStyle w:val="NOSNumberList"/>
              <w:numPr>
                <w:ilvl w:val="0"/>
                <w:numId w:val="0"/>
              </w:numPr>
              <w:spacing w:line="276" w:lineRule="exact"/>
            </w:pPr>
            <w:bookmarkStart w:id="1" w:name="StartOverview"/>
            <w:bookmarkEnd w:id="1"/>
            <w:r>
              <w:t>This standard covers the competence to plan for and establish system variances and their causes in vessel electrical and electronic systems in compliance with safety rules, regulations and organisational requirements. The effect on associated machinery and interfaced systems and any further problems are investigated and identified. Logical fault finding techniques are applied to identify and isolate the fault, the causes are determined and equipment is dismantled and re-assembled when necessary. A full description of the variance, its symptoms and causes are accurately recorded for future use.</w:t>
            </w:r>
          </w:p>
          <w:p w:rsidR="00F97EC0" w:rsidRDefault="00F97EC0" w:rsidP="0041280C">
            <w:pPr>
              <w:pStyle w:val="NOSNumberList"/>
              <w:numPr>
                <w:ilvl w:val="0"/>
                <w:numId w:val="0"/>
              </w:numPr>
              <w:spacing w:line="276" w:lineRule="exact"/>
            </w:pPr>
          </w:p>
          <w:p w:rsidR="00F97EC0" w:rsidRPr="00973252" w:rsidRDefault="00F97EC0" w:rsidP="0041280C">
            <w:pPr>
              <w:pStyle w:val="NOSNumberList"/>
              <w:numPr>
                <w:ilvl w:val="0"/>
                <w:numId w:val="0"/>
              </w:numPr>
              <w:spacing w:line="276" w:lineRule="exact"/>
              <w:rPr>
                <w:b/>
                <w:bCs/>
              </w:rPr>
            </w:pPr>
            <w:r>
              <w:rPr>
                <w:b/>
                <w:bCs/>
              </w:rPr>
              <w:t>Target Group</w:t>
            </w:r>
          </w:p>
          <w:p w:rsidR="00F97EC0" w:rsidRDefault="00F97EC0" w:rsidP="00620AE0">
            <w:pPr>
              <w:pStyle w:val="NOSNumberList"/>
              <w:numPr>
                <w:ilvl w:val="0"/>
                <w:numId w:val="0"/>
              </w:numPr>
              <w:spacing w:line="276" w:lineRule="exact"/>
            </w:pPr>
            <w:r>
              <w:t>This standard applies to individuals at the management level with responsibility for electrical and electronic systems on vessels of any type and of any registered power.</w:t>
            </w:r>
          </w:p>
          <w:p w:rsidR="00F97EC0" w:rsidRDefault="00F97EC0" w:rsidP="0041280C">
            <w:pPr>
              <w:pStyle w:val="NOSNumberList"/>
              <w:numPr>
                <w:ilvl w:val="0"/>
                <w:numId w:val="0"/>
              </w:numPr>
              <w:spacing w:line="276" w:lineRule="exact"/>
            </w:pPr>
            <w:r>
              <w:t>.</w:t>
            </w:r>
          </w:p>
          <w:p w:rsidR="00F97EC0" w:rsidRDefault="00F97EC0" w:rsidP="0041280C">
            <w:pPr>
              <w:pStyle w:val="NOSNumberList"/>
              <w:numPr>
                <w:ilvl w:val="0"/>
                <w:numId w:val="0"/>
              </w:numPr>
              <w:spacing w:line="276" w:lineRule="exact"/>
            </w:pPr>
          </w:p>
          <w:p w:rsidR="00F97EC0" w:rsidRDefault="00F97EC0" w:rsidP="00973252">
            <w:pPr>
              <w:pStyle w:val="NOSNumberList"/>
              <w:numPr>
                <w:ilvl w:val="0"/>
                <w:numId w:val="0"/>
              </w:numPr>
              <w:spacing w:line="276" w:lineRule="exact"/>
              <w:ind w:left="567"/>
            </w:pPr>
          </w:p>
        </w:tc>
      </w:tr>
      <w:bookmarkEnd w:id="0"/>
    </w:tbl>
    <w:p w:rsidR="00F97EC0" w:rsidRDefault="00F97EC0">
      <w:r>
        <w:br w:type="page"/>
      </w:r>
      <w:bookmarkStart w:id="2" w:name="EndOverview"/>
      <w:bookmarkEnd w:id="2"/>
    </w:p>
    <w:tbl>
      <w:tblPr>
        <w:tblW w:w="0" w:type="auto"/>
        <w:tblLook w:val="00A0"/>
      </w:tblPr>
      <w:tblGrid>
        <w:gridCol w:w="2518"/>
        <w:gridCol w:w="7902"/>
      </w:tblGrid>
      <w:tr w:rsidR="00F97EC0" w:rsidRPr="00CF4D98">
        <w:tc>
          <w:tcPr>
            <w:tcW w:w="2518" w:type="dxa"/>
          </w:tcPr>
          <w:p w:rsidR="00F97EC0" w:rsidRDefault="00F97EC0"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F97EC0" w:rsidRDefault="00F97EC0" w:rsidP="00016B9A">
            <w:pPr>
              <w:pStyle w:val="NOSSideSubHeading"/>
              <w:spacing w:line="240" w:lineRule="auto"/>
            </w:pPr>
            <w:r w:rsidRPr="00CF4D98">
              <w:t>You must be able to:</w:t>
            </w:r>
          </w:p>
          <w:p w:rsidR="00F97EC0" w:rsidRPr="00CF4D98" w:rsidRDefault="00F97EC0" w:rsidP="00016B9A">
            <w:pPr>
              <w:pStyle w:val="NOSSideSubHeading"/>
              <w:spacing w:line="240" w:lineRule="auto"/>
            </w:pPr>
          </w:p>
        </w:tc>
        <w:tc>
          <w:tcPr>
            <w:tcW w:w="7902" w:type="dxa"/>
          </w:tcPr>
          <w:p w:rsidR="00F97EC0" w:rsidRDefault="00F97EC0" w:rsidP="000316AB">
            <w:pPr>
              <w:pStyle w:val="NOSBodyHeading"/>
              <w:spacing w:line="276" w:lineRule="auto"/>
              <w:rPr>
                <w:b w:val="0"/>
                <w:bCs w:val="0"/>
              </w:rPr>
            </w:pPr>
            <w:bookmarkStart w:id="4" w:name="StartPerformance"/>
            <w:bookmarkEnd w:id="4"/>
          </w:p>
          <w:p w:rsidR="00F97EC0" w:rsidRDefault="00F97EC0" w:rsidP="000316AB">
            <w:pPr>
              <w:pStyle w:val="NOSBodyHeading"/>
              <w:spacing w:line="276" w:lineRule="auto"/>
              <w:rPr>
                <w:b w:val="0"/>
                <w:bCs w:val="0"/>
              </w:rPr>
            </w:pPr>
          </w:p>
          <w:p w:rsidR="00F97EC0" w:rsidRDefault="00F97EC0" w:rsidP="000316AB">
            <w:pPr>
              <w:pStyle w:val="NOSBodyHeading"/>
              <w:spacing w:line="276" w:lineRule="auto"/>
              <w:rPr>
                <w:b w:val="0"/>
                <w:bCs w:val="0"/>
              </w:rPr>
            </w:pPr>
          </w:p>
          <w:p w:rsidR="00F97EC0" w:rsidRPr="001B0A7B" w:rsidRDefault="00F97EC0" w:rsidP="000316AB">
            <w:pPr>
              <w:pStyle w:val="NOSBodyHeading"/>
              <w:numPr>
                <w:ilvl w:val="0"/>
                <w:numId w:val="17"/>
              </w:numPr>
              <w:spacing w:line="276" w:lineRule="auto"/>
              <w:rPr>
                <w:b w:val="0"/>
                <w:bCs w:val="0"/>
              </w:rPr>
            </w:pPr>
            <w:r>
              <w:rPr>
                <w:b w:val="0"/>
                <w:bCs w:val="0"/>
              </w:rPr>
              <w:t>plan for and establish variances in accordance with established safety rules and regulations</w:t>
            </w:r>
          </w:p>
          <w:p w:rsidR="00F97EC0" w:rsidRPr="001B0A7B" w:rsidRDefault="00F97EC0" w:rsidP="000316AB">
            <w:pPr>
              <w:pStyle w:val="NOSBodyHeading"/>
              <w:numPr>
                <w:ilvl w:val="0"/>
                <w:numId w:val="17"/>
              </w:numPr>
              <w:spacing w:line="276" w:lineRule="auto"/>
              <w:rPr>
                <w:b w:val="0"/>
                <w:bCs w:val="0"/>
              </w:rPr>
            </w:pPr>
            <w:r>
              <w:rPr>
                <w:b w:val="0"/>
                <w:bCs w:val="0"/>
              </w:rPr>
              <w:t>apply logical fault finding techniques and sequence of engineering diagnostic procedures in accordance with recommended practices, procedures, safety rules and regulations</w:t>
            </w:r>
          </w:p>
          <w:p w:rsidR="00F97EC0" w:rsidRPr="001B0A7B" w:rsidRDefault="00F97EC0" w:rsidP="000316AB">
            <w:pPr>
              <w:pStyle w:val="NOSBodyHeading"/>
              <w:numPr>
                <w:ilvl w:val="0"/>
                <w:numId w:val="17"/>
              </w:numPr>
              <w:spacing w:line="276" w:lineRule="auto"/>
              <w:rPr>
                <w:b w:val="0"/>
                <w:bCs w:val="0"/>
              </w:rPr>
            </w:pPr>
            <w:r>
              <w:rPr>
                <w:b w:val="0"/>
                <w:bCs w:val="0"/>
              </w:rPr>
              <w:t>identify correctly and accurately the extent, nature and cause of the variance and its effect on associated machinery and interfaced systems</w:t>
            </w:r>
          </w:p>
          <w:p w:rsidR="00F97EC0" w:rsidRPr="001B0A7B" w:rsidRDefault="00F97EC0" w:rsidP="000316AB">
            <w:pPr>
              <w:pStyle w:val="NOSBodyHeading"/>
              <w:numPr>
                <w:ilvl w:val="0"/>
                <w:numId w:val="17"/>
              </w:numPr>
              <w:spacing w:line="276" w:lineRule="auto"/>
              <w:rPr>
                <w:b w:val="0"/>
                <w:bCs w:val="0"/>
              </w:rPr>
            </w:pPr>
            <w:r>
              <w:rPr>
                <w:b w:val="0"/>
                <w:bCs w:val="0"/>
              </w:rPr>
              <w:t>propose action to be taken to correct the cause of the variation in accordance with recommended operating specifications and limitations</w:t>
            </w:r>
          </w:p>
          <w:p w:rsidR="00F97EC0" w:rsidRPr="001B0A7B" w:rsidRDefault="00F97EC0" w:rsidP="000316AB">
            <w:pPr>
              <w:pStyle w:val="NOSBodyHeading"/>
              <w:numPr>
                <w:ilvl w:val="0"/>
                <w:numId w:val="17"/>
              </w:numPr>
              <w:spacing w:line="276" w:lineRule="auto"/>
              <w:rPr>
                <w:b w:val="0"/>
                <w:bCs w:val="0"/>
              </w:rPr>
            </w:pPr>
            <w:r>
              <w:rPr>
                <w:b w:val="0"/>
                <w:bCs w:val="0"/>
              </w:rPr>
              <w:t>isolate, dismantle and re-assemble machinery and equipment as required</w:t>
            </w:r>
          </w:p>
          <w:p w:rsidR="00F97EC0" w:rsidRPr="001B0A7B" w:rsidRDefault="00F97EC0" w:rsidP="000316AB">
            <w:pPr>
              <w:pStyle w:val="NOSBodyHeading"/>
              <w:numPr>
                <w:ilvl w:val="0"/>
                <w:numId w:val="17"/>
              </w:numPr>
              <w:spacing w:line="276" w:lineRule="auto"/>
              <w:rPr>
                <w:b w:val="0"/>
                <w:bCs w:val="0"/>
              </w:rPr>
            </w:pPr>
            <w:r>
              <w:rPr>
                <w:b w:val="0"/>
                <w:bCs w:val="0"/>
              </w:rPr>
              <w:t>use specialist tools and equipment correctly in compliance with technical and manufacturer's instructions</w:t>
            </w:r>
          </w:p>
          <w:p w:rsidR="00F97EC0" w:rsidRPr="001B0A7B" w:rsidRDefault="00F97EC0" w:rsidP="000316AB">
            <w:pPr>
              <w:pStyle w:val="NOSBodyHeading"/>
              <w:numPr>
                <w:ilvl w:val="0"/>
                <w:numId w:val="17"/>
              </w:numPr>
              <w:spacing w:line="276" w:lineRule="auto"/>
              <w:rPr>
                <w:b w:val="0"/>
                <w:bCs w:val="0"/>
              </w:rPr>
            </w:pPr>
            <w:r>
              <w:rPr>
                <w:b w:val="0"/>
                <w:bCs w:val="0"/>
              </w:rPr>
              <w:t>minimise downtime and disruption to overall operations</w:t>
            </w:r>
          </w:p>
          <w:p w:rsidR="00F97EC0" w:rsidRPr="001B0A7B" w:rsidRDefault="00F97EC0" w:rsidP="000316AB">
            <w:pPr>
              <w:pStyle w:val="NOSBodyHeading"/>
              <w:numPr>
                <w:ilvl w:val="0"/>
                <w:numId w:val="17"/>
              </w:numPr>
              <w:spacing w:line="276" w:lineRule="auto"/>
              <w:rPr>
                <w:b w:val="0"/>
                <w:bCs w:val="0"/>
              </w:rPr>
            </w:pPr>
            <w:r>
              <w:rPr>
                <w:b w:val="0"/>
                <w:bCs w:val="0"/>
              </w:rPr>
              <w:t>investigate any further problems arising from the investigation</w:t>
            </w:r>
          </w:p>
          <w:p w:rsidR="00F97EC0" w:rsidRPr="001B0A7B" w:rsidRDefault="00F97EC0" w:rsidP="000316AB">
            <w:pPr>
              <w:pStyle w:val="NOSBodyHeading"/>
              <w:numPr>
                <w:ilvl w:val="0"/>
                <w:numId w:val="17"/>
              </w:numPr>
              <w:spacing w:line="276" w:lineRule="auto"/>
              <w:rPr>
                <w:b w:val="0"/>
                <w:bCs w:val="0"/>
              </w:rPr>
            </w:pPr>
            <w:r>
              <w:rPr>
                <w:b w:val="0"/>
                <w:bCs w:val="0"/>
              </w:rPr>
              <w:t>record accurately the full description of the history of the problem and its symptoms for future reference</w:t>
            </w:r>
          </w:p>
          <w:p w:rsidR="00F97EC0" w:rsidRPr="001B0A7B" w:rsidRDefault="00F97EC0" w:rsidP="00973252">
            <w:pPr>
              <w:pStyle w:val="NOSBodyHeading"/>
              <w:spacing w:line="276" w:lineRule="auto"/>
              <w:ind w:left="567"/>
              <w:rPr>
                <w:b w:val="0"/>
                <w:bCs w:val="0"/>
              </w:rPr>
            </w:pPr>
          </w:p>
        </w:tc>
      </w:tr>
    </w:tbl>
    <w:p w:rsidR="00F97EC0" w:rsidRDefault="00F97EC0" w:rsidP="0052780A">
      <w:bookmarkStart w:id="5" w:name="EndPerformance"/>
      <w:bookmarkEnd w:id="3"/>
      <w:bookmarkEnd w:id="5"/>
    </w:p>
    <w:p w:rsidR="00F97EC0" w:rsidRDefault="00F97EC0">
      <w:r>
        <w:br w:type="page"/>
      </w:r>
    </w:p>
    <w:tbl>
      <w:tblPr>
        <w:tblW w:w="0" w:type="auto"/>
        <w:tblLook w:val="00A0"/>
      </w:tblPr>
      <w:tblGrid>
        <w:gridCol w:w="2518"/>
        <w:gridCol w:w="7902"/>
      </w:tblGrid>
      <w:tr w:rsidR="00F97EC0" w:rsidRPr="00CF4D98">
        <w:tc>
          <w:tcPr>
            <w:tcW w:w="2518" w:type="dxa"/>
          </w:tcPr>
          <w:p w:rsidR="00F97EC0" w:rsidRDefault="00F97EC0"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F97EC0" w:rsidRPr="0036118B" w:rsidRDefault="00F97EC0" w:rsidP="00173AEB">
            <w:pPr>
              <w:pStyle w:val="NOSSideSubHeading"/>
              <w:spacing w:line="240" w:lineRule="auto"/>
              <w:rPr>
                <w:noProof w:val="0"/>
                <w:color w:val="0078C1"/>
              </w:rPr>
            </w:pPr>
            <w:r w:rsidRPr="0036118B">
              <w:rPr>
                <w:noProof w:val="0"/>
                <w:color w:val="0078C1"/>
              </w:rPr>
              <w:t>You need to know and understand:</w:t>
            </w:r>
          </w:p>
          <w:p w:rsidR="00F97EC0" w:rsidRDefault="00F97EC0" w:rsidP="00173AEB">
            <w:pPr>
              <w:pStyle w:val="NOSSideSubHeading"/>
              <w:spacing w:line="240" w:lineRule="auto"/>
              <w:rPr>
                <w:rFonts w:ascii="Helvetica" w:hAnsi="Helvetica" w:cs="Helvetica"/>
                <w:noProof w:val="0"/>
                <w:color w:val="0078C1"/>
              </w:rPr>
            </w:pPr>
          </w:p>
          <w:p w:rsidR="00F97EC0" w:rsidRPr="00CF4D98" w:rsidRDefault="00F97EC0" w:rsidP="00690067">
            <w:pPr>
              <w:pStyle w:val="NOSSideSubHeading"/>
            </w:pPr>
          </w:p>
        </w:tc>
        <w:tc>
          <w:tcPr>
            <w:tcW w:w="7902" w:type="dxa"/>
          </w:tcPr>
          <w:p w:rsidR="00F97EC0" w:rsidRDefault="00F97EC0" w:rsidP="00722D15">
            <w:pPr>
              <w:pStyle w:val="NOSBodyHeading"/>
              <w:spacing w:line="276" w:lineRule="auto"/>
              <w:rPr>
                <w:b w:val="0"/>
                <w:bCs w:val="0"/>
              </w:rPr>
            </w:pPr>
            <w:bookmarkStart w:id="7" w:name="StartKnowledge"/>
            <w:bookmarkEnd w:id="7"/>
          </w:p>
          <w:p w:rsidR="00F97EC0" w:rsidRDefault="00F97EC0" w:rsidP="00722D15">
            <w:pPr>
              <w:pStyle w:val="NOSBodyHeading"/>
              <w:spacing w:line="276" w:lineRule="auto"/>
              <w:rPr>
                <w:b w:val="0"/>
                <w:bCs w:val="0"/>
              </w:rPr>
            </w:pPr>
          </w:p>
          <w:p w:rsidR="00F97EC0" w:rsidRPr="001B0A7B" w:rsidRDefault="00F97EC0" w:rsidP="00722D15">
            <w:pPr>
              <w:pStyle w:val="NOSBodyHeading"/>
              <w:spacing w:line="276" w:lineRule="auto"/>
              <w:rPr>
                <w:b w:val="0"/>
                <w:bCs w:val="0"/>
              </w:rPr>
            </w:pPr>
          </w:p>
          <w:p w:rsidR="00F97EC0" w:rsidRPr="001B0A7B" w:rsidRDefault="00F97EC0" w:rsidP="00722D15">
            <w:pPr>
              <w:pStyle w:val="NOSBodyHeading"/>
              <w:numPr>
                <w:ilvl w:val="0"/>
                <w:numId w:val="18"/>
              </w:numPr>
              <w:spacing w:line="276" w:lineRule="auto"/>
              <w:rPr>
                <w:b w:val="0"/>
                <w:bCs w:val="0"/>
              </w:rPr>
            </w:pPr>
            <w:r>
              <w:rPr>
                <w:b w:val="0"/>
                <w:bCs w:val="0"/>
              </w:rPr>
              <w:t>the operating principles and normal operating conditions for vessel electrical systems and their control systems</w:t>
            </w:r>
          </w:p>
          <w:p w:rsidR="00F97EC0" w:rsidRPr="001B0A7B" w:rsidRDefault="00F97EC0" w:rsidP="00722D15">
            <w:pPr>
              <w:pStyle w:val="NOSBodyHeading"/>
              <w:numPr>
                <w:ilvl w:val="0"/>
                <w:numId w:val="18"/>
              </w:numPr>
              <w:spacing w:line="276" w:lineRule="auto"/>
              <w:rPr>
                <w:b w:val="0"/>
                <w:bCs w:val="0"/>
              </w:rPr>
            </w:pPr>
            <w:r>
              <w:rPr>
                <w:b w:val="0"/>
                <w:bCs w:val="0"/>
              </w:rPr>
              <w:t>analysis and evaluation methods, processes and techniques</w:t>
            </w:r>
          </w:p>
          <w:p w:rsidR="00F97EC0" w:rsidRPr="001B0A7B" w:rsidRDefault="00F97EC0" w:rsidP="00722D15">
            <w:pPr>
              <w:pStyle w:val="NOSBodyHeading"/>
              <w:numPr>
                <w:ilvl w:val="0"/>
                <w:numId w:val="18"/>
              </w:numPr>
              <w:spacing w:line="276" w:lineRule="auto"/>
              <w:rPr>
                <w:b w:val="0"/>
                <w:bCs w:val="0"/>
              </w:rPr>
            </w:pPr>
            <w:r>
              <w:rPr>
                <w:b w:val="0"/>
                <w:bCs w:val="0"/>
              </w:rPr>
              <w:t>fault finding techniques and routines</w:t>
            </w:r>
          </w:p>
          <w:p w:rsidR="00F97EC0" w:rsidRPr="001B0A7B" w:rsidRDefault="00F97EC0" w:rsidP="00722D15">
            <w:pPr>
              <w:pStyle w:val="NOSBodyHeading"/>
              <w:numPr>
                <w:ilvl w:val="0"/>
                <w:numId w:val="18"/>
              </w:numPr>
              <w:spacing w:line="276" w:lineRule="auto"/>
              <w:rPr>
                <w:b w:val="0"/>
                <w:bCs w:val="0"/>
              </w:rPr>
            </w:pPr>
            <w:r>
              <w:rPr>
                <w:b w:val="0"/>
                <w:bCs w:val="0"/>
              </w:rPr>
              <w:t>the cause and effects of faults or failures in vessel electrical systems</w:t>
            </w:r>
          </w:p>
          <w:p w:rsidR="00F97EC0" w:rsidRPr="001B0A7B" w:rsidRDefault="00F97EC0" w:rsidP="00722D15">
            <w:pPr>
              <w:pStyle w:val="NOSBodyHeading"/>
              <w:numPr>
                <w:ilvl w:val="0"/>
                <w:numId w:val="18"/>
              </w:numPr>
              <w:spacing w:line="276" w:lineRule="auto"/>
              <w:rPr>
                <w:b w:val="0"/>
                <w:bCs w:val="0"/>
              </w:rPr>
            </w:pPr>
            <w:r>
              <w:rPr>
                <w:b w:val="0"/>
                <w:bCs w:val="0"/>
              </w:rPr>
              <w:t>the corrective action required to restore normal operating conditions</w:t>
            </w:r>
          </w:p>
          <w:p w:rsidR="00F97EC0" w:rsidRPr="001B0A7B" w:rsidRDefault="00F97EC0" w:rsidP="00722D15">
            <w:pPr>
              <w:pStyle w:val="NOSBodyHeading"/>
              <w:numPr>
                <w:ilvl w:val="0"/>
                <w:numId w:val="18"/>
              </w:numPr>
              <w:spacing w:line="276" w:lineRule="auto"/>
              <w:rPr>
                <w:b w:val="0"/>
                <w:bCs w:val="0"/>
              </w:rPr>
            </w:pPr>
            <w:r>
              <w:rPr>
                <w:b w:val="0"/>
                <w:bCs w:val="0"/>
              </w:rPr>
              <w:t>the limiting values for running marine machinery and systems outside normal conditions</w:t>
            </w:r>
          </w:p>
          <w:p w:rsidR="00F97EC0" w:rsidRPr="001B0A7B" w:rsidRDefault="00F97EC0" w:rsidP="00722D15">
            <w:pPr>
              <w:pStyle w:val="NOSBodyHeading"/>
              <w:numPr>
                <w:ilvl w:val="0"/>
                <w:numId w:val="18"/>
              </w:numPr>
              <w:spacing w:line="276" w:lineRule="auto"/>
              <w:rPr>
                <w:b w:val="0"/>
                <w:bCs w:val="0"/>
              </w:rPr>
            </w:pPr>
            <w:r>
              <w:rPr>
                <w:b w:val="0"/>
                <w:bCs w:val="0"/>
              </w:rPr>
              <w:t>the characteristics and limitations of materials and components</w:t>
            </w:r>
          </w:p>
          <w:p w:rsidR="00F97EC0" w:rsidRPr="001B0A7B" w:rsidRDefault="00F97EC0" w:rsidP="00722D15">
            <w:pPr>
              <w:pStyle w:val="NOSBodyHeading"/>
              <w:numPr>
                <w:ilvl w:val="0"/>
                <w:numId w:val="18"/>
              </w:numPr>
              <w:spacing w:line="276" w:lineRule="auto"/>
              <w:rPr>
                <w:b w:val="0"/>
                <w:bCs w:val="0"/>
              </w:rPr>
            </w:pPr>
            <w:r>
              <w:rPr>
                <w:b w:val="0"/>
                <w:bCs w:val="0"/>
              </w:rPr>
              <w:t>the effects that the function of the equipment or system has on interfaced equipment and systems</w:t>
            </w:r>
          </w:p>
          <w:p w:rsidR="00F97EC0" w:rsidRPr="001B0A7B" w:rsidRDefault="00F97EC0" w:rsidP="00722D15">
            <w:pPr>
              <w:pStyle w:val="NOSBodyHeading"/>
              <w:numPr>
                <w:ilvl w:val="0"/>
                <w:numId w:val="18"/>
              </w:numPr>
              <w:spacing w:line="276" w:lineRule="auto"/>
              <w:rPr>
                <w:b w:val="0"/>
                <w:bCs w:val="0"/>
              </w:rPr>
            </w:pPr>
            <w:r>
              <w:rPr>
                <w:b w:val="0"/>
                <w:bCs w:val="0"/>
              </w:rPr>
              <w:t>operational and maintenance plans and schedules</w:t>
            </w:r>
          </w:p>
          <w:p w:rsidR="00F97EC0" w:rsidRPr="001B0A7B" w:rsidRDefault="00F97EC0" w:rsidP="00722D15">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F97EC0" w:rsidRPr="001B0A7B" w:rsidRDefault="00F97EC0" w:rsidP="00722D15">
            <w:pPr>
              <w:pStyle w:val="NOSBodyHeading"/>
              <w:numPr>
                <w:ilvl w:val="0"/>
                <w:numId w:val="18"/>
              </w:numPr>
              <w:spacing w:line="276" w:lineRule="auto"/>
              <w:rPr>
                <w:b w:val="0"/>
                <w:bCs w:val="0"/>
              </w:rPr>
            </w:pPr>
            <w:proofErr w:type="gramStart"/>
            <w:r>
              <w:rPr>
                <w:b w:val="0"/>
                <w:bCs w:val="0"/>
              </w:rPr>
              <w:t>statutory</w:t>
            </w:r>
            <w:proofErr w:type="gramEnd"/>
            <w:r>
              <w:rPr>
                <w:b w:val="0"/>
                <w:bCs w:val="0"/>
              </w:rPr>
              <w:t xml:space="preserve"> and organisational reporting requirements.</w:t>
            </w:r>
          </w:p>
          <w:p w:rsidR="00F97EC0" w:rsidRPr="001B0A7B" w:rsidRDefault="00F97EC0" w:rsidP="00722D15">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F97EC0" w:rsidRPr="001B0A7B" w:rsidRDefault="00F97EC0" w:rsidP="00722D15">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F97EC0" w:rsidRPr="001B0A7B" w:rsidRDefault="00F97EC0" w:rsidP="00722D15">
            <w:pPr>
              <w:pStyle w:val="NOSBodyHeading"/>
              <w:spacing w:line="276" w:lineRule="auto"/>
              <w:rPr>
                <w:b w:val="0"/>
                <w:bCs w:val="0"/>
              </w:rPr>
            </w:pPr>
          </w:p>
        </w:tc>
      </w:tr>
    </w:tbl>
    <w:p w:rsidR="00F97EC0" w:rsidRDefault="00F97EC0">
      <w:bookmarkStart w:id="8" w:name="EndKnowledge"/>
      <w:bookmarkEnd w:id="6"/>
      <w:bookmarkEnd w:id="8"/>
      <w:r>
        <w:br w:type="page"/>
      </w:r>
    </w:p>
    <w:tbl>
      <w:tblPr>
        <w:tblW w:w="0" w:type="auto"/>
        <w:tblLook w:val="00A0"/>
      </w:tblPr>
      <w:tblGrid>
        <w:gridCol w:w="2518"/>
        <w:gridCol w:w="7902"/>
      </w:tblGrid>
      <w:tr w:rsidR="00F97EC0" w:rsidRPr="00CF4D98">
        <w:tc>
          <w:tcPr>
            <w:tcW w:w="2518" w:type="dxa"/>
          </w:tcPr>
          <w:p w:rsidR="00F97EC0" w:rsidRPr="004E05F7" w:rsidRDefault="00F97EC0" w:rsidP="00690067">
            <w:pPr>
              <w:pStyle w:val="NOSSideHeading"/>
            </w:pPr>
            <w:r>
              <w:lastRenderedPageBreak/>
              <w:br w:type="page"/>
            </w:r>
            <w:r w:rsidRPr="004E05F7">
              <w:rPr>
                <w:rStyle w:val="A2"/>
                <w:b/>
                <w:bCs/>
                <w:color w:val="0070C0"/>
              </w:rPr>
              <w:t>Developed by</w:t>
            </w:r>
          </w:p>
        </w:tc>
        <w:tc>
          <w:tcPr>
            <w:tcW w:w="7902" w:type="dxa"/>
          </w:tcPr>
          <w:p w:rsidR="00F97EC0" w:rsidRDefault="00F97EC0" w:rsidP="006C3CE5">
            <w:pPr>
              <w:pStyle w:val="NOSBodyText"/>
            </w:pPr>
            <w:bookmarkStart w:id="9" w:name="StartDevelopedBy"/>
            <w:bookmarkEnd w:id="9"/>
            <w:r>
              <w:t xml:space="preserve">Maritime Skills </w:t>
            </w:r>
            <w:smartTag w:uri="urn:schemas-microsoft-com:office:smarttags" w:element="place">
              <w:smartTag w:uri="urn:schemas-microsoft-com:office:smarttags" w:element="City">
                <w:r>
                  <w:t>Alliance</w:t>
                </w:r>
              </w:smartTag>
            </w:smartTag>
          </w:p>
          <w:p w:rsidR="00F97EC0" w:rsidRPr="00CF4D98" w:rsidRDefault="00F97EC0" w:rsidP="001F6BF7">
            <w:pPr>
              <w:pStyle w:val="NOSBodyText"/>
            </w:pPr>
            <w:bookmarkStart w:id="10" w:name="EndDevelopedBy"/>
            <w:bookmarkEnd w:id="10"/>
          </w:p>
        </w:tc>
      </w:tr>
      <w:tr w:rsidR="00F97EC0" w:rsidRPr="00CF4D98">
        <w:tc>
          <w:tcPr>
            <w:tcW w:w="2518" w:type="dxa"/>
          </w:tcPr>
          <w:p w:rsidR="00F97EC0" w:rsidRPr="004E05F7" w:rsidRDefault="00721358"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F97EC0" w:rsidRPr="004E05F7">
              <w:rPr>
                <w:rStyle w:val="A2"/>
                <w:b/>
                <w:bCs/>
                <w:color w:val="0070C0"/>
              </w:rPr>
              <w:t>Version number</w:t>
            </w:r>
          </w:p>
        </w:tc>
        <w:tc>
          <w:tcPr>
            <w:tcW w:w="7902" w:type="dxa"/>
          </w:tcPr>
          <w:p w:rsidR="00F97EC0" w:rsidRDefault="00F97EC0" w:rsidP="001F6BF7">
            <w:pPr>
              <w:pStyle w:val="NOSBodyText"/>
              <w:rPr>
                <w:color w:val="221E1F"/>
              </w:rPr>
            </w:pPr>
            <w:bookmarkStart w:id="11" w:name="StartVersion"/>
            <w:bookmarkEnd w:id="11"/>
            <w:r>
              <w:rPr>
                <w:color w:val="221E1F"/>
              </w:rPr>
              <w:t>2</w:t>
            </w:r>
          </w:p>
          <w:p w:rsidR="00F97EC0" w:rsidRPr="004E05F7" w:rsidRDefault="00F97EC0" w:rsidP="001F6BF7">
            <w:pPr>
              <w:pStyle w:val="NOSBodyText"/>
              <w:rPr>
                <w:color w:val="221E1F"/>
              </w:rPr>
            </w:pPr>
            <w:bookmarkStart w:id="12" w:name="EndVersion"/>
            <w:bookmarkEnd w:id="12"/>
          </w:p>
        </w:tc>
      </w:tr>
      <w:tr w:rsidR="00F97EC0" w:rsidRPr="00CF4D98">
        <w:tc>
          <w:tcPr>
            <w:tcW w:w="2518" w:type="dxa"/>
          </w:tcPr>
          <w:p w:rsidR="00F97EC0" w:rsidRPr="004E05F7" w:rsidRDefault="0072135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21358">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F97EC0">
              <w:rPr>
                <w:rStyle w:val="A2"/>
                <w:rFonts w:ascii="Helvetica" w:hAnsi="Helvetica" w:cs="Helvetica"/>
                <w:noProof/>
                <w:lang w:eastAsia="en-GB"/>
              </w:rPr>
              <w:t>Date approved</w:t>
            </w:r>
          </w:p>
        </w:tc>
        <w:tc>
          <w:tcPr>
            <w:tcW w:w="7902" w:type="dxa"/>
          </w:tcPr>
          <w:p w:rsidR="00F97EC0" w:rsidRDefault="00215429" w:rsidP="00973252">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F97EC0" w:rsidRPr="004E05F7" w:rsidRDefault="00F97EC0" w:rsidP="00973252">
            <w:pPr>
              <w:pStyle w:val="NOSBodyText"/>
              <w:rPr>
                <w:color w:val="221E1F"/>
              </w:rPr>
            </w:pPr>
          </w:p>
        </w:tc>
      </w:tr>
      <w:tr w:rsidR="00F97EC0" w:rsidRPr="00CF4D98">
        <w:tc>
          <w:tcPr>
            <w:tcW w:w="2518" w:type="dxa"/>
          </w:tcPr>
          <w:p w:rsidR="00F97EC0" w:rsidRDefault="00F97EC0"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721358" w:rsidRPr="00721358">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F97EC0" w:rsidRPr="004E05F7" w:rsidRDefault="00F97EC0"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F97EC0" w:rsidRPr="004E05F7" w:rsidRDefault="00215429" w:rsidP="00973252">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F97EC0" w:rsidRPr="00CF4D98">
        <w:tc>
          <w:tcPr>
            <w:tcW w:w="2518" w:type="dxa"/>
          </w:tcPr>
          <w:p w:rsidR="00F97EC0" w:rsidRPr="004E05F7" w:rsidRDefault="0072135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21358">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F97EC0">
              <w:rPr>
                <w:rStyle w:val="A2"/>
                <w:rFonts w:ascii="Helvetica" w:hAnsi="Helvetica" w:cs="Helvetica"/>
                <w:noProof/>
                <w:lang w:eastAsia="en-GB"/>
              </w:rPr>
              <w:t>Validity</w:t>
            </w:r>
          </w:p>
        </w:tc>
        <w:tc>
          <w:tcPr>
            <w:tcW w:w="7902" w:type="dxa"/>
          </w:tcPr>
          <w:p w:rsidR="00F97EC0" w:rsidRDefault="00F97EC0" w:rsidP="00690067">
            <w:pPr>
              <w:pStyle w:val="NOSBodyText"/>
              <w:rPr>
                <w:rStyle w:val="A3"/>
              </w:rPr>
            </w:pPr>
            <w:bookmarkStart w:id="19" w:name="StartValidity"/>
            <w:bookmarkEnd w:id="19"/>
            <w:r>
              <w:rPr>
                <w:rStyle w:val="A3"/>
              </w:rPr>
              <w:t>Current</w:t>
            </w:r>
          </w:p>
          <w:p w:rsidR="00F97EC0" w:rsidRPr="004E05F7" w:rsidRDefault="00F97EC0" w:rsidP="00690067">
            <w:pPr>
              <w:pStyle w:val="NOSBodyText"/>
              <w:rPr>
                <w:color w:val="221E1F"/>
              </w:rPr>
            </w:pPr>
            <w:bookmarkStart w:id="20" w:name="EndValidity"/>
            <w:bookmarkEnd w:id="20"/>
          </w:p>
        </w:tc>
      </w:tr>
      <w:tr w:rsidR="00F97EC0" w:rsidRPr="00CF4D98">
        <w:tc>
          <w:tcPr>
            <w:tcW w:w="2518" w:type="dxa"/>
          </w:tcPr>
          <w:p w:rsidR="00F97EC0" w:rsidRPr="004E05F7" w:rsidRDefault="0072135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21358">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F97EC0">
              <w:rPr>
                <w:rStyle w:val="A2"/>
                <w:rFonts w:ascii="Helvetica" w:hAnsi="Helvetica" w:cs="Helvetica"/>
                <w:noProof/>
                <w:lang w:eastAsia="en-GB"/>
              </w:rPr>
              <w:t>Status</w:t>
            </w:r>
          </w:p>
        </w:tc>
        <w:tc>
          <w:tcPr>
            <w:tcW w:w="7902" w:type="dxa"/>
          </w:tcPr>
          <w:p w:rsidR="00F97EC0" w:rsidRDefault="00F97EC0" w:rsidP="001F6BF7">
            <w:pPr>
              <w:pStyle w:val="NOSBodyText"/>
              <w:rPr>
                <w:color w:val="221E1F"/>
              </w:rPr>
            </w:pPr>
            <w:bookmarkStart w:id="21" w:name="StartStatus"/>
            <w:bookmarkEnd w:id="21"/>
            <w:r>
              <w:rPr>
                <w:color w:val="221E1F"/>
              </w:rPr>
              <w:t>Original</w:t>
            </w:r>
          </w:p>
          <w:p w:rsidR="00F97EC0" w:rsidRPr="004E05F7" w:rsidRDefault="00F97EC0" w:rsidP="001F6BF7">
            <w:pPr>
              <w:pStyle w:val="NOSBodyText"/>
              <w:rPr>
                <w:color w:val="221E1F"/>
              </w:rPr>
            </w:pPr>
            <w:bookmarkStart w:id="22" w:name="EndStatus"/>
            <w:bookmarkEnd w:id="22"/>
          </w:p>
        </w:tc>
      </w:tr>
      <w:tr w:rsidR="00F97EC0" w:rsidRPr="00CF4D98">
        <w:tc>
          <w:tcPr>
            <w:tcW w:w="2518" w:type="dxa"/>
          </w:tcPr>
          <w:p w:rsidR="00F97EC0" w:rsidRDefault="00721358" w:rsidP="00690067">
            <w:pPr>
              <w:autoSpaceDE w:val="0"/>
              <w:autoSpaceDN w:val="0"/>
              <w:adjustRightInd w:val="0"/>
              <w:spacing w:after="0" w:line="241" w:lineRule="atLeast"/>
              <w:rPr>
                <w:rStyle w:val="A2"/>
                <w:rFonts w:ascii="Helvetica" w:hAnsi="Helvetica" w:cs="Helvetica"/>
                <w:noProof/>
                <w:lang w:eastAsia="en-GB"/>
              </w:rPr>
            </w:pPr>
            <w:r w:rsidRPr="00721358">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F97EC0">
              <w:rPr>
                <w:rStyle w:val="A2"/>
                <w:rFonts w:ascii="Helvetica" w:hAnsi="Helvetica" w:cs="Helvetica"/>
                <w:noProof/>
                <w:lang w:eastAsia="en-GB"/>
              </w:rPr>
              <w:t>Originating organisation</w:t>
            </w:r>
            <w:r w:rsidRPr="00721358">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F97EC0" w:rsidRPr="004E05F7" w:rsidRDefault="00F97EC0"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F97EC0" w:rsidRDefault="00F97EC0" w:rsidP="001F6BF7">
            <w:pPr>
              <w:pStyle w:val="NOSBodyText"/>
              <w:rPr>
                <w:color w:val="221E1F"/>
              </w:rPr>
            </w:pPr>
            <w:bookmarkStart w:id="23" w:name="StartOrigin"/>
            <w:bookmarkEnd w:id="23"/>
            <w:r>
              <w:rPr>
                <w:color w:val="221E1F"/>
              </w:rPr>
              <w:t>Skills for Justice</w:t>
            </w:r>
          </w:p>
          <w:p w:rsidR="00F97EC0" w:rsidRPr="004E05F7" w:rsidRDefault="00F97EC0" w:rsidP="001F6BF7">
            <w:pPr>
              <w:pStyle w:val="NOSBodyText"/>
              <w:rPr>
                <w:color w:val="221E1F"/>
              </w:rPr>
            </w:pPr>
            <w:bookmarkStart w:id="24" w:name="EndOrigin"/>
            <w:bookmarkEnd w:id="24"/>
          </w:p>
        </w:tc>
      </w:tr>
      <w:tr w:rsidR="00F97EC0" w:rsidRPr="00CF4D98">
        <w:tc>
          <w:tcPr>
            <w:tcW w:w="2518" w:type="dxa"/>
          </w:tcPr>
          <w:p w:rsidR="00F97EC0" w:rsidRPr="004E05F7" w:rsidRDefault="0072135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21358">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721358">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F97EC0">
              <w:rPr>
                <w:rStyle w:val="A2"/>
                <w:rFonts w:ascii="Helvetica" w:hAnsi="Helvetica" w:cs="Helvetica"/>
                <w:noProof/>
                <w:lang w:eastAsia="en-GB"/>
              </w:rPr>
              <w:t>Original URN</w:t>
            </w:r>
          </w:p>
        </w:tc>
        <w:tc>
          <w:tcPr>
            <w:tcW w:w="7902" w:type="dxa"/>
          </w:tcPr>
          <w:p w:rsidR="00F97EC0" w:rsidRDefault="00215429" w:rsidP="00973252">
            <w:pPr>
              <w:pStyle w:val="NOSBodyText"/>
              <w:rPr>
                <w:color w:val="221E1F"/>
              </w:rPr>
            </w:pPr>
            <w:bookmarkStart w:id="25" w:name="StartOriginURN"/>
            <w:bookmarkStart w:id="26" w:name="EndOriginURN"/>
            <w:bookmarkEnd w:id="25"/>
            <w:bookmarkEnd w:id="26"/>
            <w:r>
              <w:rPr>
                <w:color w:val="221E1F"/>
              </w:rPr>
              <w:t xml:space="preserve">MSA </w:t>
            </w:r>
            <w:r w:rsidR="00F14EEF">
              <w:rPr>
                <w:color w:val="221E1F"/>
              </w:rPr>
              <w:t>C43</w:t>
            </w:r>
            <w:bookmarkStart w:id="27" w:name="endoriginalURN"/>
            <w:bookmarkEnd w:id="27"/>
          </w:p>
          <w:p w:rsidR="00F97EC0" w:rsidRPr="004E05F7" w:rsidRDefault="00F97EC0" w:rsidP="00973252">
            <w:pPr>
              <w:pStyle w:val="NOSBodyText"/>
              <w:rPr>
                <w:color w:val="221E1F"/>
              </w:rPr>
            </w:pPr>
          </w:p>
        </w:tc>
      </w:tr>
      <w:tr w:rsidR="00F97EC0" w:rsidRPr="00CF4D98">
        <w:tc>
          <w:tcPr>
            <w:tcW w:w="2518" w:type="dxa"/>
          </w:tcPr>
          <w:p w:rsidR="00F97EC0" w:rsidRDefault="00F97EC0"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F97EC0" w:rsidRPr="004E05F7" w:rsidRDefault="00F97EC0"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F97EC0" w:rsidRPr="004E05F7" w:rsidRDefault="00F14EEF" w:rsidP="00097E1E">
            <w:pPr>
              <w:pStyle w:val="NOSBodyText"/>
              <w:rPr>
                <w:color w:val="221E1F"/>
              </w:rPr>
            </w:pPr>
            <w:bookmarkStart w:id="28" w:name="StartOccupations"/>
            <w:bookmarkStart w:id="29" w:name="EndOccupations"/>
            <w:bookmarkEnd w:id="28"/>
            <w:bookmarkEnd w:id="29"/>
            <w:r>
              <w:rPr>
                <w:color w:val="221E1F"/>
              </w:rPr>
              <w:t>Chief;</w:t>
            </w:r>
            <w:r w:rsidR="00F97EC0">
              <w:rPr>
                <w:color w:val="221E1F"/>
              </w:rPr>
              <w:t xml:space="preserve"> Engineer</w:t>
            </w:r>
            <w:bookmarkStart w:id="30" w:name="endrelevantoccupations"/>
            <w:bookmarkEnd w:id="30"/>
          </w:p>
        </w:tc>
      </w:tr>
      <w:tr w:rsidR="00F97EC0" w:rsidRPr="00CF4D98">
        <w:tc>
          <w:tcPr>
            <w:tcW w:w="2518" w:type="dxa"/>
          </w:tcPr>
          <w:p w:rsidR="00F97EC0" w:rsidRPr="004E05F7" w:rsidRDefault="0072135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21358">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F97EC0">
              <w:rPr>
                <w:rStyle w:val="A2"/>
                <w:rFonts w:ascii="Helvetica" w:hAnsi="Helvetica" w:cs="Helvetica"/>
                <w:noProof/>
                <w:lang w:eastAsia="en-GB"/>
              </w:rPr>
              <w:t>Suite</w:t>
            </w:r>
          </w:p>
        </w:tc>
        <w:tc>
          <w:tcPr>
            <w:tcW w:w="7902" w:type="dxa"/>
          </w:tcPr>
          <w:p w:rsidR="00F97EC0" w:rsidRDefault="00F97EC0" w:rsidP="001F6BF7">
            <w:pPr>
              <w:pStyle w:val="NOSBodyText"/>
              <w:rPr>
                <w:color w:val="221E1F"/>
              </w:rPr>
            </w:pPr>
            <w:bookmarkStart w:id="31" w:name="StartSuite"/>
            <w:bookmarkEnd w:id="31"/>
            <w:r>
              <w:rPr>
                <w:color w:val="221E1F"/>
              </w:rPr>
              <w:t>Maritime</w:t>
            </w:r>
          </w:p>
          <w:p w:rsidR="00F97EC0" w:rsidRPr="004E05F7" w:rsidRDefault="00F97EC0" w:rsidP="001F6BF7">
            <w:pPr>
              <w:pStyle w:val="NOSBodyText"/>
              <w:rPr>
                <w:color w:val="221E1F"/>
              </w:rPr>
            </w:pPr>
            <w:bookmarkStart w:id="32" w:name="EndSuite"/>
            <w:bookmarkEnd w:id="32"/>
          </w:p>
        </w:tc>
      </w:tr>
      <w:tr w:rsidR="00F97EC0" w:rsidRPr="00CF4D98">
        <w:tc>
          <w:tcPr>
            <w:tcW w:w="2518" w:type="dxa"/>
          </w:tcPr>
          <w:p w:rsidR="00F97EC0" w:rsidRPr="004E05F7" w:rsidRDefault="00721358"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21358">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F97EC0">
              <w:rPr>
                <w:rStyle w:val="A2"/>
                <w:rFonts w:ascii="Helvetica" w:hAnsi="Helvetica" w:cs="Helvetica"/>
                <w:noProof/>
                <w:lang w:eastAsia="en-GB"/>
              </w:rPr>
              <w:t>Key words</w:t>
            </w:r>
          </w:p>
        </w:tc>
        <w:tc>
          <w:tcPr>
            <w:tcW w:w="7902" w:type="dxa"/>
          </w:tcPr>
          <w:p w:rsidR="00F97EC0" w:rsidRPr="004E05F7" w:rsidRDefault="00F14EEF" w:rsidP="00F14EEF">
            <w:pPr>
              <w:pStyle w:val="NOSNumberList"/>
              <w:numPr>
                <w:ilvl w:val="0"/>
                <w:numId w:val="0"/>
              </w:numPr>
              <w:spacing w:line="276" w:lineRule="exact"/>
              <w:rPr>
                <w:color w:val="221E1F"/>
              </w:rPr>
            </w:pPr>
            <w:bookmarkStart w:id="33" w:name="StartKeywords"/>
            <w:bookmarkEnd w:id="33"/>
            <w:r>
              <w:t xml:space="preserve">system variances; causes; vessel; electrical; electronic; systems; compliance; safety rules; regulations; organisational; requirements </w:t>
            </w:r>
            <w:bookmarkStart w:id="34" w:name="EndKeywords"/>
            <w:bookmarkEnd w:id="34"/>
          </w:p>
        </w:tc>
      </w:tr>
    </w:tbl>
    <w:p w:rsidR="00F97EC0" w:rsidRDefault="00F97EC0" w:rsidP="0052780A"/>
    <w:sectPr w:rsidR="00F97EC0"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EC0" w:rsidRDefault="00F97EC0" w:rsidP="00521BFC">
      <w:r>
        <w:separator/>
      </w:r>
    </w:p>
  </w:endnote>
  <w:endnote w:type="continuationSeparator" w:id="0">
    <w:p w:rsidR="00F97EC0" w:rsidRDefault="00F97EC0"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EC0" w:rsidRPr="00D13FFB" w:rsidRDefault="00215429" w:rsidP="009F7CB5">
    <w:pPr>
      <w:pStyle w:val="Footer"/>
      <w:tabs>
        <w:tab w:val="left" w:pos="1200"/>
        <w:tab w:val="right" w:pos="10206"/>
      </w:tabs>
      <w:rPr>
        <w:sz w:val="18"/>
        <w:szCs w:val="18"/>
      </w:rPr>
    </w:pPr>
    <w:r w:rsidRPr="00215429">
      <w:rPr>
        <w:rFonts w:ascii="Arial" w:hAnsi="Arial" w:cs="Arial"/>
        <w:bCs/>
        <w:noProof/>
        <w:sz w:val="14"/>
        <w:szCs w:val="14"/>
      </w:rPr>
      <w:t>MSA C43</w:t>
    </w:r>
    <w:r>
      <w:rPr>
        <w:rFonts w:ascii="Arial" w:hAnsi="Arial" w:cs="Arial"/>
        <w:bCs/>
        <w:noProof/>
        <w:sz w:val="14"/>
        <w:szCs w:val="14"/>
      </w:rPr>
      <w:t xml:space="preserve"> </w:t>
    </w:r>
    <w:r w:rsidRPr="00215429">
      <w:rPr>
        <w:rFonts w:ascii="Arial" w:hAnsi="Arial" w:cs="Arial"/>
        <w:noProof/>
        <w:sz w:val="14"/>
        <w:szCs w:val="14"/>
      </w:rPr>
      <w:t>Diagnose the causes of variations in vessel electrical and electronic systems</w:t>
    </w:r>
    <w:r w:rsidR="00F97EC0" w:rsidRPr="00215429">
      <w:rPr>
        <w:sz w:val="14"/>
        <w:szCs w:val="14"/>
      </w:rPr>
      <w:tab/>
    </w:r>
    <w:r w:rsidR="00F97EC0">
      <w:rPr>
        <w:sz w:val="18"/>
        <w:szCs w:val="18"/>
      </w:rPr>
      <w:tab/>
    </w:r>
    <w:r w:rsidR="00721358" w:rsidRPr="008C0064">
      <w:rPr>
        <w:rFonts w:ascii="Arial" w:hAnsi="Arial" w:cs="Arial"/>
        <w:sz w:val="14"/>
        <w:szCs w:val="14"/>
      </w:rPr>
      <w:fldChar w:fldCharType="begin"/>
    </w:r>
    <w:r w:rsidR="00F97EC0" w:rsidRPr="008C0064">
      <w:rPr>
        <w:rFonts w:ascii="Arial" w:hAnsi="Arial" w:cs="Arial"/>
        <w:sz w:val="14"/>
        <w:szCs w:val="14"/>
      </w:rPr>
      <w:instrText xml:space="preserve"> PAGE   \* MERGEFORMAT </w:instrText>
    </w:r>
    <w:r w:rsidR="00721358" w:rsidRPr="008C0064">
      <w:rPr>
        <w:rFonts w:ascii="Arial" w:hAnsi="Arial" w:cs="Arial"/>
        <w:sz w:val="14"/>
        <w:szCs w:val="14"/>
      </w:rPr>
      <w:fldChar w:fldCharType="separate"/>
    </w:r>
    <w:r w:rsidR="0041291F">
      <w:rPr>
        <w:rFonts w:ascii="Arial" w:hAnsi="Arial" w:cs="Arial"/>
        <w:noProof/>
        <w:sz w:val="14"/>
        <w:szCs w:val="14"/>
      </w:rPr>
      <w:t>4</w:t>
    </w:r>
    <w:r w:rsidR="00721358"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EC0" w:rsidRPr="0086259F" w:rsidRDefault="00215429" w:rsidP="0086259F">
    <w:pPr>
      <w:pStyle w:val="Footer"/>
      <w:tabs>
        <w:tab w:val="left" w:pos="1200"/>
        <w:tab w:val="right" w:pos="10206"/>
      </w:tabs>
      <w:rPr>
        <w:sz w:val="18"/>
        <w:szCs w:val="18"/>
      </w:rPr>
    </w:pPr>
    <w:r w:rsidRPr="00215429">
      <w:rPr>
        <w:rFonts w:ascii="Arial" w:hAnsi="Arial" w:cs="Arial"/>
        <w:bCs/>
        <w:noProof/>
        <w:sz w:val="14"/>
        <w:szCs w:val="14"/>
      </w:rPr>
      <w:t>MSA C43</w:t>
    </w:r>
    <w:r>
      <w:rPr>
        <w:rFonts w:ascii="Arial" w:hAnsi="Arial" w:cs="Arial"/>
        <w:bCs/>
        <w:noProof/>
        <w:sz w:val="14"/>
        <w:szCs w:val="14"/>
      </w:rPr>
      <w:t xml:space="preserve"> </w:t>
    </w:r>
    <w:r w:rsidRPr="00215429">
      <w:rPr>
        <w:rFonts w:ascii="Arial" w:hAnsi="Arial" w:cs="Arial"/>
        <w:noProof/>
        <w:sz w:val="14"/>
        <w:szCs w:val="14"/>
      </w:rPr>
      <w:t>Diagnose the causes of variations in vessel electrical and electronic systems</w:t>
    </w:r>
    <w:r w:rsidR="00F97EC0">
      <w:rPr>
        <w:sz w:val="18"/>
        <w:szCs w:val="18"/>
      </w:rPr>
      <w:tab/>
    </w:r>
    <w:r w:rsidR="00F97EC0">
      <w:rPr>
        <w:sz w:val="18"/>
        <w:szCs w:val="18"/>
      </w:rPr>
      <w:tab/>
    </w:r>
    <w:r w:rsidR="00F97EC0">
      <w:rPr>
        <w:sz w:val="18"/>
        <w:szCs w:val="18"/>
      </w:rPr>
      <w:tab/>
    </w:r>
    <w:r w:rsidR="00721358" w:rsidRPr="008C0064">
      <w:rPr>
        <w:rFonts w:ascii="Arial" w:hAnsi="Arial" w:cs="Arial"/>
        <w:sz w:val="14"/>
        <w:szCs w:val="14"/>
      </w:rPr>
      <w:fldChar w:fldCharType="begin"/>
    </w:r>
    <w:r w:rsidR="00F97EC0" w:rsidRPr="008C0064">
      <w:rPr>
        <w:rFonts w:ascii="Arial" w:hAnsi="Arial" w:cs="Arial"/>
        <w:sz w:val="14"/>
        <w:szCs w:val="14"/>
      </w:rPr>
      <w:instrText xml:space="preserve"> PAGE   \* MERGEFORMAT </w:instrText>
    </w:r>
    <w:r w:rsidR="00721358" w:rsidRPr="008C0064">
      <w:rPr>
        <w:rFonts w:ascii="Arial" w:hAnsi="Arial" w:cs="Arial"/>
        <w:sz w:val="14"/>
        <w:szCs w:val="14"/>
      </w:rPr>
      <w:fldChar w:fldCharType="separate"/>
    </w:r>
    <w:r w:rsidR="0041291F">
      <w:rPr>
        <w:rFonts w:ascii="Arial" w:hAnsi="Arial" w:cs="Arial"/>
        <w:noProof/>
        <w:sz w:val="14"/>
        <w:szCs w:val="14"/>
      </w:rPr>
      <w:t>1</w:t>
    </w:r>
    <w:r w:rsidR="00721358"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EC0" w:rsidRDefault="00F97EC0" w:rsidP="00521BFC">
      <w:r>
        <w:separator/>
      </w:r>
    </w:p>
  </w:footnote>
  <w:footnote w:type="continuationSeparator" w:id="0">
    <w:p w:rsidR="00F97EC0" w:rsidRDefault="00F97EC0"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EC0" w:rsidRPr="003C6D88" w:rsidRDefault="00721358"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F14EEF">
      <w:rPr>
        <w:rFonts w:ascii="Arial" w:hAnsi="Arial" w:cs="Arial"/>
        <w:b/>
        <w:bCs/>
        <w:noProof/>
        <w:sz w:val="32"/>
        <w:szCs w:val="32"/>
      </w:rPr>
      <w:t xml:space="preserve">MSA </w:t>
    </w:r>
    <w:r w:rsidR="00F97EC0">
      <w:rPr>
        <w:rFonts w:ascii="Arial" w:hAnsi="Arial" w:cs="Arial"/>
        <w:b/>
        <w:bCs/>
        <w:noProof/>
        <w:sz w:val="32"/>
        <w:szCs w:val="32"/>
      </w:rPr>
      <w:t>C43</w:t>
    </w:r>
    <w:r w:rsidR="00F97EC0" w:rsidRPr="003C6D88">
      <w:rPr>
        <w:noProof/>
        <w:sz w:val="32"/>
        <w:szCs w:val="32"/>
      </w:rPr>
      <w:br/>
    </w:r>
    <w:r w:rsidR="00F97EC0">
      <w:rPr>
        <w:rFonts w:ascii="Arial" w:hAnsi="Arial" w:cs="Arial"/>
        <w:noProof/>
        <w:sz w:val="32"/>
        <w:szCs w:val="32"/>
      </w:rPr>
      <w:t xml:space="preserve">Diagnose the </w:t>
    </w:r>
    <w:r w:rsidR="0079009A">
      <w:rPr>
        <w:rFonts w:ascii="Arial" w:hAnsi="Arial" w:cs="Arial"/>
        <w:noProof/>
        <w:sz w:val="32"/>
        <w:szCs w:val="32"/>
      </w:rPr>
      <w:t>c</w:t>
    </w:r>
    <w:r w:rsidR="00F97EC0">
      <w:rPr>
        <w:rFonts w:ascii="Arial" w:hAnsi="Arial" w:cs="Arial"/>
        <w:noProof/>
        <w:sz w:val="32"/>
        <w:szCs w:val="32"/>
      </w:rPr>
      <w:t xml:space="preserve">auses of </w:t>
    </w:r>
    <w:r w:rsidR="0079009A">
      <w:rPr>
        <w:rFonts w:ascii="Arial" w:hAnsi="Arial" w:cs="Arial"/>
        <w:noProof/>
        <w:sz w:val="32"/>
        <w:szCs w:val="32"/>
      </w:rPr>
      <w:t>v</w:t>
    </w:r>
    <w:r w:rsidR="00F97EC0">
      <w:rPr>
        <w:rFonts w:ascii="Arial" w:hAnsi="Arial" w:cs="Arial"/>
        <w:noProof/>
        <w:sz w:val="32"/>
        <w:szCs w:val="32"/>
      </w:rPr>
      <w:t xml:space="preserve">ariations in </w:t>
    </w:r>
    <w:r w:rsidR="0079009A">
      <w:rPr>
        <w:rFonts w:ascii="Arial" w:hAnsi="Arial" w:cs="Arial"/>
        <w:noProof/>
        <w:sz w:val="32"/>
        <w:szCs w:val="32"/>
      </w:rPr>
      <w:t>v</w:t>
    </w:r>
    <w:r w:rsidR="00F97EC0">
      <w:rPr>
        <w:rFonts w:ascii="Arial" w:hAnsi="Arial" w:cs="Arial"/>
        <w:noProof/>
        <w:sz w:val="32"/>
        <w:szCs w:val="32"/>
      </w:rPr>
      <w:t xml:space="preserve">essel </w:t>
    </w:r>
    <w:r w:rsidR="0079009A">
      <w:rPr>
        <w:rFonts w:ascii="Arial" w:hAnsi="Arial" w:cs="Arial"/>
        <w:noProof/>
        <w:sz w:val="32"/>
        <w:szCs w:val="32"/>
      </w:rPr>
      <w:t>e</w:t>
    </w:r>
    <w:r w:rsidR="00F97EC0">
      <w:rPr>
        <w:rFonts w:ascii="Arial" w:hAnsi="Arial" w:cs="Arial"/>
        <w:noProof/>
        <w:sz w:val="32"/>
        <w:szCs w:val="32"/>
      </w:rPr>
      <w:t xml:space="preserve">lectrical and </w:t>
    </w:r>
    <w:r w:rsidR="0079009A">
      <w:rPr>
        <w:rFonts w:ascii="Arial" w:hAnsi="Arial" w:cs="Arial"/>
        <w:noProof/>
        <w:sz w:val="32"/>
        <w:szCs w:val="32"/>
      </w:rPr>
      <w:t>e</w:t>
    </w:r>
    <w:r w:rsidR="00F97EC0">
      <w:rPr>
        <w:rFonts w:ascii="Arial" w:hAnsi="Arial" w:cs="Arial"/>
        <w:noProof/>
        <w:sz w:val="32"/>
        <w:szCs w:val="32"/>
      </w:rPr>
      <w:t xml:space="preserve">lectronic </w:t>
    </w:r>
    <w:r w:rsidR="0079009A">
      <w:rPr>
        <w:rFonts w:ascii="Arial" w:hAnsi="Arial" w:cs="Arial"/>
        <w:noProof/>
        <w:sz w:val="32"/>
        <w:szCs w:val="32"/>
      </w:rPr>
      <w:t>s</w:t>
    </w:r>
    <w:r w:rsidR="00F97EC0">
      <w:rPr>
        <w:rFonts w:ascii="Arial" w:hAnsi="Arial" w:cs="Arial"/>
        <w:noProof/>
        <w:sz w:val="32"/>
        <w:szCs w:val="32"/>
      </w:rPr>
      <w:t>ystems</w:t>
    </w:r>
    <w:r w:rsidR="00F97EC0">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F97EC0">
      <w:trPr>
        <w:cantSplit/>
        <w:trHeight w:val="1065"/>
      </w:trPr>
      <w:tc>
        <w:tcPr>
          <w:tcW w:w="7616" w:type="dxa"/>
        </w:tcPr>
        <w:p w:rsidR="00F97EC0" w:rsidRPr="006B3784" w:rsidRDefault="00F14EEF" w:rsidP="006B3784">
          <w:pPr>
            <w:pStyle w:val="Header"/>
            <w:spacing w:after="0" w:line="240" w:lineRule="auto"/>
            <w:rPr>
              <w:rFonts w:ascii="Arial" w:hAnsi="Arial" w:cs="Arial"/>
              <w:b/>
              <w:bCs/>
              <w:sz w:val="32"/>
              <w:szCs w:val="32"/>
            </w:rPr>
          </w:pPr>
          <w:r>
            <w:rPr>
              <w:rFonts w:ascii="Arial" w:hAnsi="Arial" w:cs="Arial"/>
              <w:b/>
              <w:bCs/>
              <w:sz w:val="32"/>
              <w:szCs w:val="32"/>
            </w:rPr>
            <w:t xml:space="preserve">MSA </w:t>
          </w:r>
          <w:r w:rsidR="00F97EC0" w:rsidRPr="006B3784">
            <w:rPr>
              <w:rFonts w:ascii="Arial" w:hAnsi="Arial" w:cs="Arial"/>
              <w:b/>
              <w:bCs/>
              <w:sz w:val="32"/>
              <w:szCs w:val="32"/>
            </w:rPr>
            <w:t>C43</w:t>
          </w:r>
        </w:p>
        <w:p w:rsidR="00F97EC0" w:rsidRPr="006B3784" w:rsidRDefault="00F97EC0" w:rsidP="006B3784">
          <w:pPr>
            <w:pStyle w:val="Header"/>
            <w:spacing w:after="0" w:line="240" w:lineRule="auto"/>
            <w:rPr>
              <w:rFonts w:ascii="Arial" w:hAnsi="Arial" w:cs="Arial"/>
            </w:rPr>
          </w:pPr>
          <w:r w:rsidRPr="006B3784">
            <w:rPr>
              <w:rFonts w:ascii="Arial" w:hAnsi="Arial" w:cs="Arial"/>
              <w:sz w:val="32"/>
              <w:szCs w:val="32"/>
            </w:rPr>
            <w:t xml:space="preserve">Diagnose the </w:t>
          </w:r>
          <w:r w:rsidR="0079009A">
            <w:rPr>
              <w:rFonts w:ascii="Arial" w:hAnsi="Arial" w:cs="Arial"/>
              <w:sz w:val="32"/>
              <w:szCs w:val="32"/>
            </w:rPr>
            <w:t>c</w:t>
          </w:r>
          <w:r w:rsidRPr="006B3784">
            <w:rPr>
              <w:rFonts w:ascii="Arial" w:hAnsi="Arial" w:cs="Arial"/>
              <w:sz w:val="32"/>
              <w:szCs w:val="32"/>
            </w:rPr>
            <w:t xml:space="preserve">auses of </w:t>
          </w:r>
          <w:r w:rsidR="0079009A">
            <w:rPr>
              <w:rFonts w:ascii="Arial" w:hAnsi="Arial" w:cs="Arial"/>
              <w:sz w:val="32"/>
              <w:szCs w:val="32"/>
            </w:rPr>
            <w:t>v</w:t>
          </w:r>
          <w:r w:rsidRPr="006B3784">
            <w:rPr>
              <w:rFonts w:ascii="Arial" w:hAnsi="Arial" w:cs="Arial"/>
              <w:sz w:val="32"/>
              <w:szCs w:val="32"/>
            </w:rPr>
            <w:t xml:space="preserve">ariations in </w:t>
          </w:r>
          <w:r w:rsidR="0079009A">
            <w:rPr>
              <w:rFonts w:ascii="Arial" w:hAnsi="Arial" w:cs="Arial"/>
              <w:sz w:val="32"/>
              <w:szCs w:val="32"/>
            </w:rPr>
            <w:t>v</w:t>
          </w:r>
          <w:r w:rsidRPr="006B3784">
            <w:rPr>
              <w:rFonts w:ascii="Arial" w:hAnsi="Arial" w:cs="Arial"/>
              <w:sz w:val="32"/>
              <w:szCs w:val="32"/>
            </w:rPr>
            <w:t xml:space="preserve">essel </w:t>
          </w:r>
          <w:r w:rsidR="0079009A">
            <w:rPr>
              <w:rFonts w:ascii="Arial" w:hAnsi="Arial" w:cs="Arial"/>
              <w:sz w:val="32"/>
              <w:szCs w:val="32"/>
            </w:rPr>
            <w:t>e</w:t>
          </w:r>
          <w:r w:rsidRPr="006B3784">
            <w:rPr>
              <w:rFonts w:ascii="Arial" w:hAnsi="Arial" w:cs="Arial"/>
              <w:sz w:val="32"/>
              <w:szCs w:val="32"/>
            </w:rPr>
            <w:t xml:space="preserve">lectrical and </w:t>
          </w:r>
          <w:r w:rsidR="0079009A">
            <w:rPr>
              <w:rFonts w:ascii="Arial" w:hAnsi="Arial" w:cs="Arial"/>
              <w:sz w:val="32"/>
              <w:szCs w:val="32"/>
            </w:rPr>
            <w:t>e</w:t>
          </w:r>
          <w:r w:rsidRPr="006B3784">
            <w:rPr>
              <w:rFonts w:ascii="Arial" w:hAnsi="Arial" w:cs="Arial"/>
              <w:sz w:val="32"/>
              <w:szCs w:val="32"/>
            </w:rPr>
            <w:t xml:space="preserve">lectronic </w:t>
          </w:r>
          <w:r w:rsidR="0079009A">
            <w:rPr>
              <w:rFonts w:ascii="Arial" w:hAnsi="Arial" w:cs="Arial"/>
              <w:sz w:val="32"/>
              <w:szCs w:val="32"/>
            </w:rPr>
            <w:t>s</w:t>
          </w:r>
          <w:r w:rsidRPr="006B3784">
            <w:rPr>
              <w:rFonts w:ascii="Arial" w:hAnsi="Arial" w:cs="Arial"/>
              <w:sz w:val="32"/>
              <w:szCs w:val="32"/>
            </w:rPr>
            <w:t>ystems</w:t>
          </w:r>
        </w:p>
      </w:tc>
      <w:tc>
        <w:tcPr>
          <w:tcW w:w="2616" w:type="dxa"/>
        </w:tcPr>
        <w:p w:rsidR="00F97EC0" w:rsidRDefault="0079009A" w:rsidP="006B3784">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F97EC0" w:rsidRPr="009A1F82" w:rsidRDefault="00721358"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DB0452"/>
    <w:multiLevelType w:val="multilevel"/>
    <w:tmpl w:val="A3A6B56A"/>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D891ED0"/>
    <w:multiLevelType w:val="multilevel"/>
    <w:tmpl w:val="AC282ED8"/>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91202D6"/>
    <w:multiLevelType w:val="multilevel"/>
    <w:tmpl w:val="25523C98"/>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2"/>
  </w:num>
  <w:num w:numId="6">
    <w:abstractNumId w:val="14"/>
  </w:num>
  <w:num w:numId="7">
    <w:abstractNumId w:val="5"/>
  </w:num>
  <w:num w:numId="8">
    <w:abstractNumId w:val="17"/>
  </w:num>
  <w:num w:numId="9">
    <w:abstractNumId w:val="16"/>
  </w:num>
  <w:num w:numId="10">
    <w:abstractNumId w:val="13"/>
  </w:num>
  <w:num w:numId="11">
    <w:abstractNumId w:val="11"/>
  </w:num>
  <w:num w:numId="12">
    <w:abstractNumId w:val="8"/>
  </w:num>
  <w:num w:numId="13">
    <w:abstractNumId w:val="3"/>
  </w:num>
  <w:num w:numId="14">
    <w:abstractNumId w:val="10"/>
  </w:num>
  <w:num w:numId="15">
    <w:abstractNumId w:val="0"/>
  </w:num>
  <w:num w:numId="16">
    <w:abstractNumId w:val="15"/>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16AB"/>
    <w:rsid w:val="00035310"/>
    <w:rsid w:val="0003593E"/>
    <w:rsid w:val="0004792D"/>
    <w:rsid w:val="00051B82"/>
    <w:rsid w:val="000556CF"/>
    <w:rsid w:val="000622B5"/>
    <w:rsid w:val="00066CD2"/>
    <w:rsid w:val="00074FC4"/>
    <w:rsid w:val="00077B79"/>
    <w:rsid w:val="00084043"/>
    <w:rsid w:val="00085418"/>
    <w:rsid w:val="000867C6"/>
    <w:rsid w:val="00090C19"/>
    <w:rsid w:val="00093E71"/>
    <w:rsid w:val="00094733"/>
    <w:rsid w:val="00096244"/>
    <w:rsid w:val="00096378"/>
    <w:rsid w:val="00097E1E"/>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3C83"/>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15429"/>
    <w:rsid w:val="00222188"/>
    <w:rsid w:val="002229B0"/>
    <w:rsid w:val="00224BC7"/>
    <w:rsid w:val="00233775"/>
    <w:rsid w:val="0024080B"/>
    <w:rsid w:val="002427F4"/>
    <w:rsid w:val="0025664D"/>
    <w:rsid w:val="00262F5D"/>
    <w:rsid w:val="00270B1B"/>
    <w:rsid w:val="002774F2"/>
    <w:rsid w:val="002A4C5F"/>
    <w:rsid w:val="002B1E39"/>
    <w:rsid w:val="002B3CE6"/>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324C9"/>
    <w:rsid w:val="00345B06"/>
    <w:rsid w:val="003521D1"/>
    <w:rsid w:val="0036118B"/>
    <w:rsid w:val="003722CD"/>
    <w:rsid w:val="00377DED"/>
    <w:rsid w:val="00380447"/>
    <w:rsid w:val="003819D7"/>
    <w:rsid w:val="00387C8A"/>
    <w:rsid w:val="003A38E2"/>
    <w:rsid w:val="003B7932"/>
    <w:rsid w:val="003C4768"/>
    <w:rsid w:val="003C6D88"/>
    <w:rsid w:val="003D3486"/>
    <w:rsid w:val="003D524D"/>
    <w:rsid w:val="003D7EF3"/>
    <w:rsid w:val="003E2694"/>
    <w:rsid w:val="003F7686"/>
    <w:rsid w:val="00401539"/>
    <w:rsid w:val="004103D1"/>
    <w:rsid w:val="00410B19"/>
    <w:rsid w:val="0041273C"/>
    <w:rsid w:val="0041280C"/>
    <w:rsid w:val="0041291F"/>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05F7"/>
    <w:rsid w:val="004E21DC"/>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697C"/>
    <w:rsid w:val="005F7364"/>
    <w:rsid w:val="005F7445"/>
    <w:rsid w:val="005F7944"/>
    <w:rsid w:val="006043DF"/>
    <w:rsid w:val="006075B5"/>
    <w:rsid w:val="00607653"/>
    <w:rsid w:val="00610303"/>
    <w:rsid w:val="006145C8"/>
    <w:rsid w:val="00620AE0"/>
    <w:rsid w:val="00621F6A"/>
    <w:rsid w:val="006229C7"/>
    <w:rsid w:val="00623C04"/>
    <w:rsid w:val="0063089C"/>
    <w:rsid w:val="00637642"/>
    <w:rsid w:val="006472D9"/>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3784"/>
    <w:rsid w:val="006B4495"/>
    <w:rsid w:val="006B5B42"/>
    <w:rsid w:val="006C2574"/>
    <w:rsid w:val="006C3CE5"/>
    <w:rsid w:val="006D03D8"/>
    <w:rsid w:val="006E0E81"/>
    <w:rsid w:val="006E35D0"/>
    <w:rsid w:val="006E4E70"/>
    <w:rsid w:val="006F0706"/>
    <w:rsid w:val="006F3CA8"/>
    <w:rsid w:val="007017D1"/>
    <w:rsid w:val="007156AF"/>
    <w:rsid w:val="00715D93"/>
    <w:rsid w:val="00721358"/>
    <w:rsid w:val="00722D15"/>
    <w:rsid w:val="00724E04"/>
    <w:rsid w:val="00726306"/>
    <w:rsid w:val="00742745"/>
    <w:rsid w:val="00751419"/>
    <w:rsid w:val="00753242"/>
    <w:rsid w:val="007613C5"/>
    <w:rsid w:val="00762896"/>
    <w:rsid w:val="00762E29"/>
    <w:rsid w:val="00780EAB"/>
    <w:rsid w:val="00785D30"/>
    <w:rsid w:val="0079009A"/>
    <w:rsid w:val="00791C53"/>
    <w:rsid w:val="007A13ED"/>
    <w:rsid w:val="007B0672"/>
    <w:rsid w:val="007B76C5"/>
    <w:rsid w:val="007C232F"/>
    <w:rsid w:val="007C7DC5"/>
    <w:rsid w:val="007D3CB0"/>
    <w:rsid w:val="007D52B7"/>
    <w:rsid w:val="007D52D3"/>
    <w:rsid w:val="007E7D16"/>
    <w:rsid w:val="0082306F"/>
    <w:rsid w:val="00823628"/>
    <w:rsid w:val="0083407A"/>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2152"/>
    <w:rsid w:val="00964343"/>
    <w:rsid w:val="009648B9"/>
    <w:rsid w:val="00965C13"/>
    <w:rsid w:val="00967459"/>
    <w:rsid w:val="00970FA0"/>
    <w:rsid w:val="00973252"/>
    <w:rsid w:val="00974A9C"/>
    <w:rsid w:val="009759E7"/>
    <w:rsid w:val="00975F0B"/>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B493E"/>
    <w:rsid w:val="00AB7B1B"/>
    <w:rsid w:val="00AC5CD4"/>
    <w:rsid w:val="00AC5EE5"/>
    <w:rsid w:val="00AE57EF"/>
    <w:rsid w:val="00B067F0"/>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788"/>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95085"/>
    <w:rsid w:val="00CA0B7E"/>
    <w:rsid w:val="00CA0BEC"/>
    <w:rsid w:val="00CA3700"/>
    <w:rsid w:val="00CC167D"/>
    <w:rsid w:val="00CC2785"/>
    <w:rsid w:val="00CF4D98"/>
    <w:rsid w:val="00D03896"/>
    <w:rsid w:val="00D13FFB"/>
    <w:rsid w:val="00D15081"/>
    <w:rsid w:val="00D27CC8"/>
    <w:rsid w:val="00D33BD9"/>
    <w:rsid w:val="00D50956"/>
    <w:rsid w:val="00D646F9"/>
    <w:rsid w:val="00D762B7"/>
    <w:rsid w:val="00D9240E"/>
    <w:rsid w:val="00D92D08"/>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2E30"/>
    <w:rsid w:val="00E569AA"/>
    <w:rsid w:val="00E664BC"/>
    <w:rsid w:val="00E66529"/>
    <w:rsid w:val="00E80A62"/>
    <w:rsid w:val="00EB50D3"/>
    <w:rsid w:val="00EC19B3"/>
    <w:rsid w:val="00EC1AA4"/>
    <w:rsid w:val="00EC71A9"/>
    <w:rsid w:val="00ED4338"/>
    <w:rsid w:val="00EE5D4B"/>
    <w:rsid w:val="00F02CCD"/>
    <w:rsid w:val="00F129CF"/>
    <w:rsid w:val="00F14EE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97EC0"/>
    <w:rsid w:val="00FA164F"/>
    <w:rsid w:val="00FB3A0A"/>
    <w:rsid w:val="00FB6FAF"/>
    <w:rsid w:val="00FB7C0B"/>
    <w:rsid w:val="00FB7E70"/>
    <w:rsid w:val="00FC2345"/>
    <w:rsid w:val="00FC6F60"/>
    <w:rsid w:val="00FD0954"/>
    <w:rsid w:val="00FD262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994333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471</Words>
  <Characters>2841</Characters>
  <Application>Microsoft Office Word</Application>
  <DocSecurity>0</DocSecurity>
  <Lines>23</Lines>
  <Paragraphs>6</Paragraphs>
  <ScaleCrop>false</ScaleCrop>
  <Company>UK Commission for Employment and Skills</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2011-11-15T11:29:00Z</dcterms:created>
  <dcterms:modified xsi:type="dcterms:W3CDTF">2012-02-23T15:16:00Z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